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DCDF" w14:textId="77777777" w:rsidR="002847AF" w:rsidRDefault="002847AF" w:rsidP="002847AF"/>
    <w:p w14:paraId="36F7BE64" w14:textId="57E76404" w:rsidR="00F94CAC" w:rsidRPr="00307922" w:rsidRDefault="00F94CAC" w:rsidP="004C7824">
      <w:pPr>
        <w:pStyle w:val="FormTitle"/>
        <w:rPr>
          <w:caps/>
        </w:rPr>
      </w:pPr>
      <w:r w:rsidRPr="00307922">
        <w:t>Data Quality Guidelines</w:t>
      </w:r>
      <w:r w:rsidR="00C34EDA">
        <w:t xml:space="preserve"> and </w:t>
      </w:r>
      <w:r w:rsidRPr="00307922">
        <w:t>Principal Investigator Verification of Compliance Form</w:t>
      </w:r>
    </w:p>
    <w:p w14:paraId="677EF223" w14:textId="15749681" w:rsidR="00F94CAC" w:rsidRDefault="00F94CAC" w:rsidP="00307922">
      <w:pPr>
        <w:widowControl w:val="0"/>
      </w:pPr>
      <w:r>
        <w:t>Each TBIMS Project Director is responsible for the integrity of data being collected within his/her center. The Project Director is also responsible for tracking and assuring that the Data Quality Guidelines outlined below are followed in his/her center.</w:t>
      </w:r>
      <w:r w:rsidR="007078C1">
        <w:t xml:space="preserve"> </w:t>
      </w:r>
      <w:r>
        <w:t>Each TBIMS maintain a log documenting that these guidelines are being followed. On an annual basis, each center Project Director must submit a signed copy of this form to the NDSC, to indicate that these guidelines are being followed within his/her center. All signed guidelines will be archived by the NDSC.</w:t>
      </w:r>
    </w:p>
    <w:p w14:paraId="1AFDDF26" w14:textId="77777777" w:rsidR="00E33A4B" w:rsidRDefault="00E33A4B" w:rsidP="00E33A4B">
      <w:pPr>
        <w:numPr>
          <w:ilvl w:val="0"/>
          <w:numId w:val="27"/>
        </w:numPr>
      </w:pPr>
      <w:r>
        <w:rPr>
          <w:b/>
        </w:rPr>
        <w:t>FIM</w:t>
      </w:r>
      <w:r>
        <w:rPr>
          <w:rFonts w:eastAsia="Arial"/>
          <w:b/>
          <w:bCs/>
          <w:position w:val="-1"/>
          <w:sz w:val="20"/>
          <w:szCs w:val="20"/>
          <w:vertAlign w:val="superscript"/>
        </w:rPr>
        <w:t xml:space="preserve">® </w:t>
      </w:r>
      <w:r w:rsidRPr="00E225E8">
        <w:rPr>
          <w:b/>
        </w:rPr>
        <w:t>Instrument</w:t>
      </w:r>
      <w:r>
        <w:rPr>
          <w:b/>
        </w:rPr>
        <w:t xml:space="preserve">: </w:t>
      </w:r>
      <w:r>
        <w:t>It is the responsibility of each center to assure that all staff who perform FIM</w:t>
      </w:r>
      <w:r>
        <w:rPr>
          <w:rFonts w:eastAsia="Arial"/>
          <w:b/>
          <w:bCs/>
          <w:position w:val="-1"/>
          <w:sz w:val="20"/>
          <w:szCs w:val="20"/>
          <w:vertAlign w:val="superscript"/>
        </w:rPr>
        <w:t>®</w:t>
      </w:r>
      <w:r>
        <w:t xml:space="preserve"> assessments and those performing the data quality checks (Form 1 and Form 2) are trained/certified and training/certification is repeated bi-annually for the duration of the time that they collect data/assess patients for the TBIMS National Database. </w:t>
      </w:r>
      <w:r w:rsidRPr="00135944">
        <w:t>FIM</w:t>
      </w:r>
      <w:r w:rsidRPr="00135944">
        <w:rPr>
          <w:b/>
          <w:bCs/>
          <w:vertAlign w:val="superscript"/>
        </w:rPr>
        <w:t>®</w:t>
      </w:r>
      <w:r>
        <w:rPr>
          <w:b/>
          <w:bCs/>
          <w:vertAlign w:val="superscript"/>
        </w:rPr>
        <w:t xml:space="preserve"> </w:t>
      </w:r>
      <w:r>
        <w:rPr>
          <w:bCs/>
        </w:rPr>
        <w:t>training and certification is to be completed using the online Training and Certification materials provided on the TBIMS NDSC website.</w:t>
      </w:r>
    </w:p>
    <w:p w14:paraId="18667386" w14:textId="77777777" w:rsidR="00E33A4B" w:rsidRDefault="00E33A4B" w:rsidP="00E33A4B">
      <w:pPr>
        <w:numPr>
          <w:ilvl w:val="0"/>
          <w:numId w:val="27"/>
        </w:numPr>
      </w:pPr>
      <w:r>
        <w:rPr>
          <w:b/>
        </w:rPr>
        <w:t>Disability Rating Scale (DRS):</w:t>
      </w:r>
      <w:r>
        <w:t xml:space="preserve"> It is the responsibility of each center to assure that all staff who perform DRS ratings and those performing the data quality checks for Form 1 are trained and certified through the website at “www.tbims.org/combi/</w:t>
      </w:r>
      <w:proofErr w:type="spellStart"/>
      <w:r>
        <w:t>drs</w:t>
      </w:r>
      <w:proofErr w:type="spellEnd"/>
      <w:r>
        <w:t xml:space="preserve">/”. All staff should be re-certified bi-annually. </w:t>
      </w:r>
    </w:p>
    <w:p w14:paraId="2D6A906E" w14:textId="77777777" w:rsidR="00E33A4B" w:rsidRPr="00BB5E58" w:rsidRDefault="00E33A4B" w:rsidP="00E33A4B">
      <w:pPr>
        <w:pStyle w:val="ListParagraph"/>
        <w:numPr>
          <w:ilvl w:val="0"/>
          <w:numId w:val="27"/>
        </w:numPr>
        <w:contextualSpacing/>
      </w:pPr>
      <w:r w:rsidRPr="00A11E13">
        <w:rPr>
          <w:b/>
        </w:rPr>
        <w:t>Pre-Injury History Data:</w:t>
      </w:r>
      <w:r>
        <w:t xml:space="preserve"> </w:t>
      </w:r>
      <w:r w:rsidRPr="007811F6">
        <w:t xml:space="preserve">The Pre-Injury History should be used to collect relevant data for the TBIMS National Database Form </w:t>
      </w:r>
      <w:r>
        <w:t>1</w:t>
      </w:r>
      <w:r w:rsidRPr="007811F6">
        <w:t xml:space="preserve">. Exact wording of questions is provided. The Pre-Injury History </w:t>
      </w:r>
      <w:r>
        <w:t>form is</w:t>
      </w:r>
      <w:r w:rsidRPr="007811F6">
        <w:t xml:space="preserve"> available on the NDSC website. Centers should not be using their own data collection methods or forms.</w:t>
      </w:r>
    </w:p>
    <w:p w14:paraId="6C33A101" w14:textId="77777777" w:rsidR="00E33A4B" w:rsidRDefault="00E33A4B" w:rsidP="00E33A4B">
      <w:pPr>
        <w:numPr>
          <w:ilvl w:val="0"/>
          <w:numId w:val="27"/>
        </w:numPr>
      </w:pPr>
      <w:r>
        <w:rPr>
          <w:b/>
        </w:rPr>
        <w:t>Intracranial CT Diagnosis:</w:t>
      </w:r>
      <w:r>
        <w:t xml:space="preserve"> TBIMS staff coding the CT Diagnosis data collection should be certified. Certification materials can be obtained from the National Data and Statistical Center. The Database Syllabus contains the CT data collection form with guidelines. Staff coding the CT forms need to be recertified every 10 years.</w:t>
      </w:r>
    </w:p>
    <w:p w14:paraId="13B4836D" w14:textId="77777777" w:rsidR="00E33A4B" w:rsidRDefault="00E33A4B" w:rsidP="00E33A4B">
      <w:pPr>
        <w:numPr>
          <w:ilvl w:val="0"/>
          <w:numId w:val="27"/>
        </w:numPr>
      </w:pPr>
      <w:r>
        <w:rPr>
          <w:b/>
        </w:rPr>
        <w:t>Data Collected from Medical Charts:</w:t>
      </w:r>
      <w:r>
        <w:t xml:space="preserve"> Each center will have an independent certified staff member re-abstract the entire Form 1 on one case entered each quarter. If any errors in coding are found they should be corrected and another one of the cases for the quarter should be re-abstracted and any errors corrected. This should be done prior to each quarterly submission deadline (e.g., March 31, June 30, September 30, and January 15).</w:t>
      </w:r>
    </w:p>
    <w:p w14:paraId="0F229AFB" w14:textId="77777777" w:rsidR="00E33A4B" w:rsidRDefault="00E33A4B" w:rsidP="00E33A4B">
      <w:pPr>
        <w:numPr>
          <w:ilvl w:val="0"/>
          <w:numId w:val="27"/>
        </w:numPr>
      </w:pPr>
      <w:r>
        <w:rPr>
          <w:b/>
        </w:rPr>
        <w:t xml:space="preserve">Form 1 Certification: </w:t>
      </w:r>
      <w:r w:rsidRPr="00FA3F46">
        <w:t xml:space="preserve">Each center will have the staff responsible for completion of the Form </w:t>
      </w:r>
      <w:r>
        <w:t>1</w:t>
      </w:r>
      <w:r w:rsidRPr="00FA3F46">
        <w:t xml:space="preserve"> data collection for the TBIMS National Database</w:t>
      </w:r>
      <w:r>
        <w:t xml:space="preserve"> complete the Form 1 Certification bi-annually. For new employees, contact the NDSC for materials to complete the certification process, otherwise, the NDSC will notify centers when to complete the bi-annual process.</w:t>
      </w:r>
    </w:p>
    <w:p w14:paraId="3DA0535E" w14:textId="77777777" w:rsidR="00E33A4B" w:rsidRPr="00D41BAD" w:rsidRDefault="00E33A4B" w:rsidP="00E33A4B">
      <w:pPr>
        <w:numPr>
          <w:ilvl w:val="0"/>
          <w:numId w:val="27"/>
        </w:numPr>
      </w:pPr>
      <w:r w:rsidRPr="002F4D93">
        <w:rPr>
          <w:b/>
        </w:rPr>
        <w:t>Cultural Certification:</w:t>
      </w:r>
      <w:r>
        <w:t xml:space="preserve"> It is the responsibility of each center to assure that all staff responsible for enrollment, Form 1 Pre-Injury History collection or Form 2 Data collection complete the Cultural Certification provided in the “Cultural” section under the Members tab on the TBINDSC website.</w:t>
      </w:r>
    </w:p>
    <w:p w14:paraId="4AAB223A" w14:textId="77777777" w:rsidR="00E33A4B" w:rsidRDefault="00E33A4B" w:rsidP="00E33A4B">
      <w:pPr>
        <w:numPr>
          <w:ilvl w:val="0"/>
          <w:numId w:val="27"/>
        </w:numPr>
      </w:pPr>
      <w:r>
        <w:rPr>
          <w:b/>
        </w:rPr>
        <w:lastRenderedPageBreak/>
        <w:t>Data Entry:</w:t>
      </w:r>
      <w:r>
        <w:t xml:space="preserve"> Data entry for a random sample of at least 10% of Form 1s will be verified by having a different staff member compare the complete data collection form to the data entered into the database. If any errors are detected, all forms should be verified. This should be done prior to each quarterly submission deadline. The same procedure will be used for Form 2 data entry if paper forms are used.</w:t>
      </w:r>
    </w:p>
    <w:p w14:paraId="224CE62F" w14:textId="77777777" w:rsidR="00E33A4B" w:rsidRDefault="00E33A4B" w:rsidP="00E33A4B">
      <w:pPr>
        <w:numPr>
          <w:ilvl w:val="0"/>
          <w:numId w:val="27"/>
        </w:numPr>
      </w:pPr>
      <w:r>
        <w:rPr>
          <w:b/>
        </w:rPr>
        <w:t>Data Errors Discovered During Analysis:</w:t>
      </w:r>
      <w:r>
        <w:t xml:space="preserve"> All data errors (or questionable data) identified during any analysis of data in the national database, by any center staff, will be reported to the NDSC for distribution and correction by the other centers.</w:t>
      </w:r>
    </w:p>
    <w:p w14:paraId="7B276E1D" w14:textId="77777777" w:rsidR="00E33A4B" w:rsidRDefault="00E33A4B" w:rsidP="00E33A4B">
      <w:pPr>
        <w:numPr>
          <w:ilvl w:val="0"/>
          <w:numId w:val="27"/>
        </w:numPr>
      </w:pPr>
      <w:r>
        <w:rPr>
          <w:b/>
        </w:rPr>
        <w:t xml:space="preserve">Data Collected by Interview: </w:t>
      </w:r>
      <w:r>
        <w:t>Each center, on an annual basis, should have another center staff person sit in on an interview (via phone, recording, or in-person) and code and compare a Form 2 for each Form 2 data collector. If any errors are found, they should be corrected and another interview should be coded by the independent staff person.</w:t>
      </w:r>
    </w:p>
    <w:p w14:paraId="32B854F5" w14:textId="77777777" w:rsidR="00E33A4B" w:rsidRDefault="00E33A4B" w:rsidP="00E33A4B">
      <w:pPr>
        <w:numPr>
          <w:ilvl w:val="0"/>
          <w:numId w:val="27"/>
        </w:numPr>
      </w:pPr>
      <w:r>
        <w:rPr>
          <w:b/>
        </w:rPr>
        <w:t>Error Analysis Report:</w:t>
      </w:r>
      <w:r>
        <w:t xml:space="preserve"> Each center should review the database Errors/Inconsistencies report after all data entry is completed for a quarterly submission deadline and attempt to correct all errors before that quarterly deadline.</w:t>
      </w:r>
      <w:r w:rsidRPr="00F41070">
        <w:t xml:space="preserve"> </w:t>
      </w:r>
      <w:r>
        <w:t>All cases containing errors at the time of submission will be excluded from distributed datasets.</w:t>
      </w:r>
    </w:p>
    <w:p w14:paraId="64A00FBF" w14:textId="77777777" w:rsidR="00E33A4B" w:rsidRDefault="00E33A4B" w:rsidP="00E33A4B">
      <w:pPr>
        <w:numPr>
          <w:ilvl w:val="0"/>
          <w:numId w:val="27"/>
        </w:numPr>
      </w:pPr>
      <w:r w:rsidRPr="00C855BF">
        <w:rPr>
          <w:b/>
        </w:rPr>
        <w:t>Coding Consistency:</w:t>
      </w:r>
      <w:r w:rsidRPr="00C855BF">
        <w:t xml:space="preserve"> Each center should run the </w:t>
      </w:r>
      <w:r>
        <w:t>Errors/Inconsistencies report after all data entry tasks have been</w:t>
      </w:r>
      <w:r w:rsidRPr="00C855BF">
        <w:t xml:space="preserve"> completed for a quarterly </w:t>
      </w:r>
      <w:r>
        <w:t>submission</w:t>
      </w:r>
      <w:r w:rsidRPr="00C855BF">
        <w:t xml:space="preserve"> deadline and review all inconsistencies before that quarterly deadline. Centers should attempt to correct all inconsistencies where an error has occurred, and disregard any inconsistencies where an error has not occurred.</w:t>
      </w:r>
    </w:p>
    <w:p w14:paraId="6B88FCEF" w14:textId="77777777" w:rsidR="00E33A4B" w:rsidRDefault="00E33A4B" w:rsidP="00E33A4B">
      <w:pPr>
        <w:numPr>
          <w:ilvl w:val="0"/>
          <w:numId w:val="27"/>
        </w:numPr>
      </w:pPr>
      <w:r>
        <w:rPr>
          <w:b/>
        </w:rPr>
        <w:t>Missing Data Reports:</w:t>
      </w:r>
      <w:r>
        <w:t xml:space="preserve"> Each center should run the database Completeness reports for both Form 1 and Form 2 missing data after all data entry is completed for a quarterly submission deadline and attempt to complete all missing data before the quarterly deadline.</w:t>
      </w:r>
    </w:p>
    <w:p w14:paraId="015C41E8" w14:textId="77777777" w:rsidR="00E33A4B" w:rsidRDefault="00E33A4B" w:rsidP="00E33A4B">
      <w:pPr>
        <w:numPr>
          <w:ilvl w:val="0"/>
          <w:numId w:val="27"/>
        </w:numPr>
      </w:pPr>
      <w:r>
        <w:rPr>
          <w:b/>
        </w:rPr>
        <w:t>Screening Report:</w:t>
      </w:r>
      <w:r>
        <w:t xml:space="preserve"> Each center should verify that screening data entry is kept up to date throughout the quarter and prior to each quarterly submission deadline.</w:t>
      </w:r>
    </w:p>
    <w:p w14:paraId="4B59161B" w14:textId="77777777" w:rsidR="00E33A4B" w:rsidRDefault="00E33A4B" w:rsidP="00E33A4B">
      <w:pPr>
        <w:numPr>
          <w:ilvl w:val="0"/>
          <w:numId w:val="27"/>
        </w:numPr>
      </w:pPr>
      <w:r>
        <w:rPr>
          <w:b/>
        </w:rPr>
        <w:t xml:space="preserve">Form 2’s Overdue: </w:t>
      </w:r>
      <w:r>
        <w:t>Each center should run the database Follow-Up Cases report after all data entry is completed for a quarterly submission deadline and complete a Form 2 for any cases appearing on the list as overdue on the Cases Overdue tab of the report. If no information is available on the participant, complete the Form 2 considering the participant as lost to follow-up. If any Form 2s are overdue for any quarterly submission deadline, they will be considered lost to follow-up in the calculation of follow-up rates for the data quality targets.</w:t>
      </w:r>
    </w:p>
    <w:p w14:paraId="33B1E5D3" w14:textId="77777777" w:rsidR="00E33A4B" w:rsidRDefault="00E33A4B" w:rsidP="00E33A4B">
      <w:pPr>
        <w:numPr>
          <w:ilvl w:val="0"/>
          <w:numId w:val="27"/>
        </w:numPr>
      </w:pPr>
      <w:r>
        <w:rPr>
          <w:b/>
        </w:rPr>
        <w:t xml:space="preserve">Best Practices for </w:t>
      </w:r>
      <w:r w:rsidRPr="00B03BE7">
        <w:rPr>
          <w:b/>
        </w:rPr>
        <w:t>Follow-up:</w:t>
      </w:r>
      <w:r>
        <w:t xml:space="preserve"> Each center should complete the “Lost” tab in the database for every participant that is submitted to the national database as lost to follow-up </w:t>
      </w:r>
      <w:r w:rsidRPr="00220583">
        <w:t>(that is either they could not be located or they did not respond to contact)</w:t>
      </w:r>
      <w:r>
        <w:t xml:space="preserve"> to assure that all best practices for follow-up have been completed. The Lost Cases: Guidelines and Strategies report should then be run to verify that each lost case has been updated.</w:t>
      </w:r>
    </w:p>
    <w:p w14:paraId="4ACA90B1" w14:textId="77777777" w:rsidR="00E33A4B" w:rsidRDefault="00E33A4B" w:rsidP="00E33A4B">
      <w:pPr>
        <w:numPr>
          <w:ilvl w:val="0"/>
          <w:numId w:val="27"/>
        </w:numPr>
      </w:pPr>
      <w:r>
        <w:rPr>
          <w:b/>
        </w:rPr>
        <w:t>Data Quality Targets:</w:t>
      </w:r>
      <w:r>
        <w:t xml:space="preserve"> Each center should attempt to meet the Data Quality Targets established by the TBIMS. Those targets are: 1) annually enroll the projected number of participants stated in their grant proposal; 2) enroll 80% of eligible participants each quarter and year; 3) successfully follow 90% of participants for the Form 2 year 1 and year 2 follow-</w:t>
      </w:r>
      <w:r>
        <w:lastRenderedPageBreak/>
        <w:t>ups each quarter and year (successful follow-up = those followed, expired or incarcerated); 4) successfully follow 80% of participants for the Form 2 year 5,10, 15, etc. follow-ups each quarter and year; 5) maintain less than 10% missing data on all Form 1 and Form 2 variables each year.</w:t>
      </w:r>
    </w:p>
    <w:p w14:paraId="581DA340" w14:textId="77777777" w:rsidR="00E33A4B" w:rsidRDefault="00E33A4B" w:rsidP="00E33A4B">
      <w:pPr>
        <w:numPr>
          <w:ilvl w:val="0"/>
          <w:numId w:val="27"/>
        </w:numPr>
      </w:pPr>
      <w:r>
        <w:rPr>
          <w:b/>
        </w:rPr>
        <w:t>Data Integrity Pledge:</w:t>
      </w:r>
      <w:r>
        <w:t xml:space="preserve"> Each center should ensure that all TBIMS staff with data collection or data management duties, including screening and consenting sign the Data Integrity Pledge annually. Project Directors do not need to sign.</w:t>
      </w:r>
    </w:p>
    <w:p w14:paraId="040CBCFF" w14:textId="77777777" w:rsidR="00E33A4B" w:rsidRDefault="00E33A4B" w:rsidP="00E33A4B">
      <w:pPr>
        <w:pStyle w:val="ListParagraph"/>
        <w:numPr>
          <w:ilvl w:val="0"/>
          <w:numId w:val="27"/>
        </w:numPr>
        <w:contextualSpacing/>
      </w:pPr>
      <w:r w:rsidRPr="00A51F9F">
        <w:rPr>
          <w:b/>
          <w:bCs/>
        </w:rPr>
        <w:t>Cost Sharing:</w:t>
      </w:r>
      <w:r>
        <w:t xml:space="preserve"> Each Center is expected to attend and share in the cost of holding the Project Directors meetings and Data Collector Conferences. Each center will be held responsible for a share of the registration fees split appropriately across centers, whether the meeting is held in person, virtually or a combination of these formats, and independent of that center’s ability to attend.</w:t>
      </w:r>
    </w:p>
    <w:p w14:paraId="77BB47F1" w14:textId="77777777" w:rsidR="00E33A4B" w:rsidRDefault="00E33A4B" w:rsidP="00E33A4B">
      <w:pPr>
        <w:widowControl w:val="0"/>
        <w:numPr>
          <w:ilvl w:val="0"/>
          <w:numId w:val="27"/>
        </w:numPr>
      </w:pPr>
      <w:r>
        <w:rPr>
          <w:b/>
        </w:rPr>
        <w:t>Guidelines Sign-off by Project Directors:</w:t>
      </w:r>
      <w:r>
        <w:t xml:space="preserve"> On an annual basis, each center Project Director should submit a signed copy of this SOP to the NDSC, to indicate that these guidelines are being followed within his/her center. All signed guidelines will be archived by the NDSC.</w:t>
      </w:r>
    </w:p>
    <w:p w14:paraId="5998D9BC" w14:textId="77777777" w:rsidR="00F94CAC" w:rsidRDefault="00F94CAC" w:rsidP="00307922">
      <w:pPr>
        <w:rPr>
          <w:b/>
          <w:bCs/>
        </w:rPr>
      </w:pPr>
    </w:p>
    <w:p w14:paraId="57E5FA15" w14:textId="77777777" w:rsidR="00F94CAC" w:rsidRDefault="00F94CAC" w:rsidP="00C715B8">
      <w:r>
        <w:t>These procedures are being followed in my TBI Model System.</w:t>
      </w:r>
    </w:p>
    <w:p w14:paraId="2CB7C9FA" w14:textId="77777777" w:rsidR="00F94CAC" w:rsidRDefault="00F94CAC" w:rsidP="00C715B8"/>
    <w:p w14:paraId="21CC4733" w14:textId="77777777" w:rsidR="00F94CAC" w:rsidRDefault="00F94CAC" w:rsidP="00307922">
      <w:pPr>
        <w:rPr>
          <w:b/>
          <w:bCs/>
        </w:rPr>
      </w:pPr>
    </w:p>
    <w:p w14:paraId="34D43F07" w14:textId="7E84A0C1" w:rsidR="00F94CAC" w:rsidRPr="00961C61" w:rsidRDefault="00961C61" w:rsidP="00961C61">
      <w:pPr>
        <w:tabs>
          <w:tab w:val="left" w:pos="6120"/>
          <w:tab w:val="left" w:pos="6840"/>
          <w:tab w:val="right" w:pos="9180"/>
        </w:tabs>
        <w:rPr>
          <w:u w:val="single"/>
        </w:rPr>
      </w:pPr>
      <w:r w:rsidRPr="00961C61">
        <w:rPr>
          <w:u w:val="single"/>
        </w:rPr>
        <w:tab/>
      </w:r>
      <w:r w:rsidRPr="00961C61">
        <w:tab/>
      </w:r>
      <w:r w:rsidRPr="00961C61">
        <w:rPr>
          <w:u w:val="single"/>
        </w:rPr>
        <w:tab/>
      </w:r>
    </w:p>
    <w:p w14:paraId="4D82BEAB" w14:textId="1B00E245" w:rsidR="00F94CAC" w:rsidRDefault="00F94CAC" w:rsidP="00961C61">
      <w:pPr>
        <w:tabs>
          <w:tab w:val="center" w:pos="8010"/>
        </w:tabs>
      </w:pPr>
      <w:r>
        <w:t>Signature of Project Director</w:t>
      </w:r>
      <w:r w:rsidR="004C7824">
        <w:tab/>
      </w:r>
      <w:r>
        <w:t>Date</w:t>
      </w:r>
    </w:p>
    <w:p w14:paraId="2BD978C5" w14:textId="77777777" w:rsidR="00F94CAC" w:rsidRDefault="00F94CAC" w:rsidP="00307922"/>
    <w:p w14:paraId="566A6FF6" w14:textId="2ED311B2" w:rsidR="00961C61" w:rsidRPr="00961C61" w:rsidRDefault="00961C61" w:rsidP="00961C61">
      <w:pPr>
        <w:tabs>
          <w:tab w:val="left" w:pos="6120"/>
          <w:tab w:val="left" w:pos="6840"/>
          <w:tab w:val="right" w:pos="9180"/>
        </w:tabs>
        <w:rPr>
          <w:u w:val="single"/>
        </w:rPr>
      </w:pPr>
      <w:r w:rsidRPr="00961C61">
        <w:rPr>
          <w:u w:val="single"/>
        </w:rPr>
        <w:tab/>
      </w:r>
    </w:p>
    <w:p w14:paraId="4334ED85" w14:textId="77777777" w:rsidR="00F94CAC" w:rsidRPr="002043A7" w:rsidRDefault="00F94CAC" w:rsidP="00307922">
      <w:r w:rsidRPr="002043A7">
        <w:t>Center</w:t>
      </w:r>
      <w:r>
        <w:t xml:space="preserve"> Name</w:t>
      </w:r>
    </w:p>
    <w:sectPr w:rsidR="00F94CAC" w:rsidRPr="002043A7" w:rsidSect="00866F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3C72" w14:textId="77777777" w:rsidR="003527AA" w:rsidRDefault="003527AA">
      <w:r>
        <w:separator/>
      </w:r>
    </w:p>
  </w:endnote>
  <w:endnote w:type="continuationSeparator" w:id="0">
    <w:p w14:paraId="23CD12A2" w14:textId="77777777" w:rsidR="003527AA" w:rsidRDefault="003527AA">
      <w:r>
        <w:continuationSeparator/>
      </w:r>
    </w:p>
  </w:endnote>
  <w:endnote w:type="continuationNotice" w:id="1">
    <w:p w14:paraId="65CBD25B" w14:textId="77777777" w:rsidR="003527AA" w:rsidRDefault="0035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56D8" w14:textId="77777777" w:rsidR="00F94CAC" w:rsidRDefault="00F94CAC" w:rsidP="00C81855">
    <w:pPr>
      <w:pStyle w:val="Footer"/>
      <w:jc w:val="right"/>
    </w:pPr>
    <w:r>
      <w:t xml:space="preserve">Page </w:t>
    </w:r>
    <w:r w:rsidR="002E7021">
      <w:fldChar w:fldCharType="begin"/>
    </w:r>
    <w:r w:rsidR="002E7021">
      <w:instrText xml:space="preserve"> PAGE </w:instrText>
    </w:r>
    <w:r w:rsidR="002E7021">
      <w:fldChar w:fldCharType="separate"/>
    </w:r>
    <w:r w:rsidR="00BB5017">
      <w:rPr>
        <w:noProof/>
      </w:rPr>
      <w:t>1</w:t>
    </w:r>
    <w:r w:rsidR="002E7021">
      <w:rPr>
        <w:noProof/>
      </w:rPr>
      <w:fldChar w:fldCharType="end"/>
    </w:r>
    <w:r>
      <w:t xml:space="preserve"> of </w:t>
    </w:r>
    <w:r w:rsidR="00A05B94">
      <w:rPr>
        <w:noProof/>
      </w:rPr>
      <w:fldChar w:fldCharType="begin"/>
    </w:r>
    <w:r w:rsidR="00A05B94">
      <w:rPr>
        <w:noProof/>
      </w:rPr>
      <w:instrText xml:space="preserve"> NUMPAGES </w:instrText>
    </w:r>
    <w:r w:rsidR="00A05B94">
      <w:rPr>
        <w:noProof/>
      </w:rPr>
      <w:fldChar w:fldCharType="separate"/>
    </w:r>
    <w:r w:rsidR="00BB5017">
      <w:rPr>
        <w:noProof/>
      </w:rPr>
      <w:t>3</w:t>
    </w:r>
    <w:r w:rsidR="00A05B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D7F0" w14:textId="77777777" w:rsidR="003527AA" w:rsidRDefault="003527AA">
      <w:r>
        <w:separator/>
      </w:r>
    </w:p>
  </w:footnote>
  <w:footnote w:type="continuationSeparator" w:id="0">
    <w:p w14:paraId="788AFCBA" w14:textId="77777777" w:rsidR="003527AA" w:rsidRDefault="003527AA">
      <w:r>
        <w:continuationSeparator/>
      </w:r>
    </w:p>
  </w:footnote>
  <w:footnote w:type="continuationNotice" w:id="1">
    <w:p w14:paraId="4C697DC9" w14:textId="77777777" w:rsidR="003527AA" w:rsidRDefault="00352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03BD" w14:textId="4E9B24AC" w:rsidR="001951A7" w:rsidRDefault="006F0201" w:rsidP="001462F7">
    <w:pPr>
      <w:ind w:right="-720"/>
      <w:jc w:val="center"/>
    </w:pPr>
    <w:r>
      <w:rPr>
        <w:noProof/>
      </w:rPr>
      <mc:AlternateContent>
        <mc:Choice Requires="wps">
          <w:drawing>
            <wp:anchor distT="0" distB="0" distL="114300" distR="114300" simplePos="0" relativeHeight="251660288" behindDoc="0" locked="0" layoutInCell="1" allowOverlap="1" wp14:anchorId="0A27F0BA" wp14:editId="2303A112">
              <wp:simplePos x="0" y="0"/>
              <wp:positionH relativeFrom="column">
                <wp:posOffset>1285875</wp:posOffset>
              </wp:positionH>
              <wp:positionV relativeFrom="paragraph">
                <wp:posOffset>-200026</wp:posOffset>
              </wp:positionV>
              <wp:extent cx="5343525" cy="657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5343525" cy="657225"/>
                      </a:xfrm>
                      <a:prstGeom prst="rect">
                        <a:avLst/>
                      </a:prstGeom>
                      <a:noFill/>
                      <a:ln w="6350">
                        <a:noFill/>
                      </a:ln>
                    </wps:spPr>
                    <wps:txbx>
                      <w:txbxContent>
                        <w:p w14:paraId="1D9B4652" w14:textId="4C0C6D9E" w:rsidR="004C7824" w:rsidRPr="00F607E4" w:rsidRDefault="00F607E4" w:rsidP="00F607E4">
                          <w:pPr>
                            <w:spacing w:after="0"/>
                            <w:jc w:val="center"/>
                            <w:rPr>
                              <w:b/>
                              <w:color w:val="17365D" w:themeColor="text2" w:themeShade="BF"/>
                              <w:sz w:val="32"/>
                              <w:szCs w:val="32"/>
                            </w:rPr>
                          </w:pPr>
                          <w:r>
                            <w:rPr>
                              <w:b/>
                              <w:color w:val="17365D" w:themeColor="text2" w:themeShade="BF"/>
                              <w:sz w:val="32"/>
                              <w:szCs w:val="32"/>
                            </w:rPr>
                            <w:t xml:space="preserve">Data Quality Guidelines and Principal Investigator Verification of Compliance </w:t>
                          </w:r>
                          <w:r w:rsidR="004C7824">
                            <w:rPr>
                              <w:b/>
                              <w:color w:val="17365D" w:themeColor="text2" w:themeShade="BF"/>
                              <w:sz w:val="32"/>
                              <w:szCs w:val="3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7F0BA"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" filled="f" stroked="f" strokeweight=".5pt">
              <v:textbox>
                <w:txbxContent>
                  <w:p w14:paraId="1D9B4652" w14:textId="4C0C6D9E" w:rsidR="004C7824" w:rsidRPr="00F607E4" w:rsidRDefault="00F607E4" w:rsidP="00F607E4">
                    <w:pPr>
                      <w:spacing w:after="0"/>
                      <w:jc w:val="center"/>
                      <w:rPr>
                        <w:b/>
                        <w:color w:val="17365D" w:themeColor="text2" w:themeShade="BF"/>
                        <w:sz w:val="32"/>
                        <w:szCs w:val="32"/>
                      </w:rPr>
                    </w:pPr>
                    <w:r>
                      <w:rPr>
                        <w:b/>
                        <w:color w:val="17365D" w:themeColor="text2" w:themeShade="BF"/>
                        <w:sz w:val="32"/>
                        <w:szCs w:val="32"/>
                      </w:rPr>
                      <w:t xml:space="preserve">Data Quality Guidelines and Principal Investigator Verification of Compliance </w:t>
                    </w:r>
                    <w:r w:rsidR="004C7824">
                      <w:rPr>
                        <w:b/>
                        <w:color w:val="17365D" w:themeColor="text2" w:themeShade="BF"/>
                        <w:sz w:val="32"/>
                        <w:szCs w:val="32"/>
                      </w:rPr>
                      <w:t>FORM</w:t>
                    </w:r>
                  </w:p>
                </w:txbxContent>
              </v:textbox>
            </v:shape>
          </w:pict>
        </mc:Fallback>
      </mc:AlternateContent>
    </w:r>
    <w:r w:rsidR="001951A7">
      <w:rPr>
        <w:noProof/>
      </w:rPr>
      <mc:AlternateContent>
        <mc:Choice Requires="wps">
          <w:drawing>
            <wp:anchor distT="0" distB="0" distL="114300" distR="114300" simplePos="0" relativeHeight="251659264" behindDoc="0" locked="0" layoutInCell="1" allowOverlap="1" wp14:anchorId="38AA8625" wp14:editId="653C4EEE">
              <wp:simplePos x="0" y="0"/>
              <wp:positionH relativeFrom="page">
                <wp:align>right</wp:align>
              </wp:positionH>
              <wp:positionV relativeFrom="paragraph">
                <wp:posOffset>-495158</wp:posOffset>
              </wp:positionV>
              <wp:extent cx="8621486" cy="1000125"/>
              <wp:effectExtent l="0" t="0" r="8255" b="9525"/>
              <wp:wrapNone/>
              <wp:docPr id="3" name="Rectangle 3"/>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EC3E6" w14:textId="77777777" w:rsidR="001951A7" w:rsidRPr="00C42811" w:rsidRDefault="001951A7"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072FC">
                            <w:rPr>
                              <w:noProof/>
                            </w:rPr>
                            <w:drawing>
                              <wp:inline distT="0" distB="0" distL="0" distR="0" wp14:anchorId="1A6967A6" wp14:editId="58BA07D8">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8625" id="Rectangle 3" o:spid="_x0000_s1027" style="position:absolute;left:0;text-align:left;margin-left:627.65pt;margin-top:-39pt;width:678.85pt;height:78.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" fillcolor="#a6bbd8" stroked="f" strokeweight="2pt">
              <v:fill color2="white [3212]" rotate="t" angle="270" focus="100%" type="gradient"/>
              <v:textbox>
                <w:txbxContent>
                  <w:p w14:paraId="03DEC3E6" w14:textId="77777777" w:rsidR="001951A7" w:rsidRPr="00C42811" w:rsidRDefault="001951A7"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072FC">
                      <w:rPr>
                        <w:noProof/>
                      </w:rPr>
                      <w:drawing>
                        <wp:inline distT="0" distB="0" distL="0" distR="0" wp14:anchorId="1A6967A6" wp14:editId="58BA07D8">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v:textbox>
              <w10:wrap anchorx="page"/>
            </v:rect>
          </w:pict>
        </mc:Fallback>
      </mc:AlternateContent>
    </w:r>
  </w:p>
  <w:p w14:paraId="1E042023" w14:textId="77777777" w:rsidR="001951A7" w:rsidRPr="001462F7" w:rsidRDefault="001951A7" w:rsidP="001462F7">
    <w:pPr>
      <w:pStyle w:val="Header"/>
    </w:pPr>
    <w:r>
      <w:t>Craig 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1F3"/>
    <w:multiLevelType w:val="hybridMultilevel"/>
    <w:tmpl w:val="CC4617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46AB7"/>
    <w:multiLevelType w:val="hybridMultilevel"/>
    <w:tmpl w:val="870C4F3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FE1F7C"/>
    <w:multiLevelType w:val="hybridMultilevel"/>
    <w:tmpl w:val="40C2DA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5B41F1"/>
    <w:multiLevelType w:val="hybridMultilevel"/>
    <w:tmpl w:val="D58627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66262"/>
    <w:multiLevelType w:val="hybridMultilevel"/>
    <w:tmpl w:val="24289330"/>
    <w:lvl w:ilvl="0" w:tplc="BC4060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D2EF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239E158A"/>
    <w:multiLevelType w:val="hybridMultilevel"/>
    <w:tmpl w:val="EBDC0F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ECA"/>
    <w:multiLevelType w:val="hybridMultilevel"/>
    <w:tmpl w:val="D068B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0" w15:restartNumberingAfterBreak="0">
    <w:nsid w:val="3635451B"/>
    <w:multiLevelType w:val="hybridMultilevel"/>
    <w:tmpl w:val="B58C2A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9856953"/>
    <w:multiLevelType w:val="hybridMultilevel"/>
    <w:tmpl w:val="DCD68F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EE5C43"/>
    <w:multiLevelType w:val="hybridMultilevel"/>
    <w:tmpl w:val="D730F79C"/>
    <w:lvl w:ilvl="0" w:tplc="83D6182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cs="Times New Roman" w:hint="default"/>
      </w:rPr>
    </w:lvl>
    <w:lvl w:ilvl="1" w:tplc="9830DA6C">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6" w15:restartNumberingAfterBreak="0">
    <w:nsid w:val="40DD0F79"/>
    <w:multiLevelType w:val="hybridMultilevel"/>
    <w:tmpl w:val="9AB244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7C7714"/>
    <w:multiLevelType w:val="hybridMultilevel"/>
    <w:tmpl w:val="1C9CE1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134AB7"/>
    <w:multiLevelType w:val="singleLevel"/>
    <w:tmpl w:val="B05AF5DC"/>
    <w:lvl w:ilvl="0">
      <w:start w:val="1"/>
      <w:numFmt w:val="decimal"/>
      <w:lvlText w:val="%1."/>
      <w:lvlJc w:val="left"/>
      <w:pPr>
        <w:tabs>
          <w:tab w:val="num" w:pos="360"/>
        </w:tabs>
        <w:ind w:left="360" w:hanging="360"/>
      </w:pPr>
      <w:rPr>
        <w:rFonts w:cs="Times New Roman"/>
        <w:b w:val="0"/>
        <w:sz w:val="24"/>
      </w:rPr>
    </w:lvl>
  </w:abstractNum>
  <w:abstractNum w:abstractNumId="20" w15:restartNumberingAfterBreak="0">
    <w:nsid w:val="5EC91F9D"/>
    <w:multiLevelType w:val="hybridMultilevel"/>
    <w:tmpl w:val="161CB4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CA3EC8"/>
    <w:multiLevelType w:val="hybridMultilevel"/>
    <w:tmpl w:val="9D649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10B24"/>
    <w:multiLevelType w:val="hybridMultilevel"/>
    <w:tmpl w:val="3DDA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E5E97"/>
    <w:multiLevelType w:val="multilevel"/>
    <w:tmpl w:val="FD6A9926"/>
    <w:lvl w:ilvl="0">
      <w:start w:val="1"/>
      <w:numFmt w:val="decimal"/>
      <w:lvlText w:val="%1"/>
      <w:lvlJc w:val="left"/>
      <w:pPr>
        <w:tabs>
          <w:tab w:val="num" w:pos="525"/>
        </w:tabs>
        <w:ind w:left="525" w:hanging="525"/>
      </w:pPr>
      <w:rPr>
        <w:rFonts w:cs="Times New Roman" w:hint="default"/>
      </w:rPr>
    </w:lvl>
    <w:lvl w:ilvl="1">
      <w:start w:val="1"/>
      <w:numFmt w:val="decimalZero"/>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0E030E"/>
    <w:multiLevelType w:val="hybridMultilevel"/>
    <w:tmpl w:val="D5B8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F97E6B"/>
    <w:multiLevelType w:val="hybridMultilevel"/>
    <w:tmpl w:val="2642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76FBD"/>
    <w:multiLevelType w:val="hybridMultilevel"/>
    <w:tmpl w:val="8B02739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9E230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D0610B5"/>
    <w:multiLevelType w:val="hybridMultilevel"/>
    <w:tmpl w:val="4B264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28"/>
  </w:num>
  <w:num w:numId="4">
    <w:abstractNumId w:val="8"/>
  </w:num>
  <w:num w:numId="5">
    <w:abstractNumId w:val="11"/>
  </w:num>
  <w:num w:numId="6">
    <w:abstractNumId w:val="24"/>
  </w:num>
  <w:num w:numId="7">
    <w:abstractNumId w:val="14"/>
  </w:num>
  <w:num w:numId="8">
    <w:abstractNumId w:val="22"/>
  </w:num>
  <w:num w:numId="9">
    <w:abstractNumId w:val="15"/>
  </w:num>
  <w:num w:numId="10">
    <w:abstractNumId w:val="9"/>
  </w:num>
  <w:num w:numId="11">
    <w:abstractNumId w:val="17"/>
  </w:num>
  <w:num w:numId="12">
    <w:abstractNumId w:val="12"/>
  </w:num>
  <w:num w:numId="13">
    <w:abstractNumId w:val="2"/>
  </w:num>
  <w:num w:numId="14">
    <w:abstractNumId w:val="27"/>
  </w:num>
  <w:num w:numId="15">
    <w:abstractNumId w:val="10"/>
  </w:num>
  <w:num w:numId="16">
    <w:abstractNumId w:val="3"/>
  </w:num>
  <w:num w:numId="17">
    <w:abstractNumId w:val="0"/>
  </w:num>
  <w:num w:numId="18">
    <w:abstractNumId w:val="20"/>
  </w:num>
  <w:num w:numId="19">
    <w:abstractNumId w:val="21"/>
  </w:num>
  <w:num w:numId="20">
    <w:abstractNumId w:val="6"/>
  </w:num>
  <w:num w:numId="21">
    <w:abstractNumId w:val="13"/>
  </w:num>
  <w:num w:numId="22">
    <w:abstractNumId w:val="26"/>
  </w:num>
  <w:num w:numId="23">
    <w:abstractNumId w:val="25"/>
  </w:num>
  <w:num w:numId="24">
    <w:abstractNumId w:val="29"/>
  </w:num>
  <w:num w:numId="25">
    <w:abstractNumId w:val="7"/>
  </w:num>
  <w:num w:numId="26">
    <w:abstractNumId w:val="23"/>
  </w:num>
  <w:num w:numId="27">
    <w:abstractNumId w:val="19"/>
  </w:num>
  <w:num w:numId="28">
    <w:abstractNumId w:val="4"/>
  </w:num>
  <w:num w:numId="29">
    <w:abstractNumId w:val="1"/>
  </w:num>
  <w:num w:numId="30">
    <w:abstractNumId w:val="16"/>
  </w:num>
  <w:num w:numId="3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132E3"/>
    <w:rsid w:val="00046B36"/>
    <w:rsid w:val="000502BF"/>
    <w:rsid w:val="000559E7"/>
    <w:rsid w:val="00087FA1"/>
    <w:rsid w:val="00090E61"/>
    <w:rsid w:val="000C0763"/>
    <w:rsid w:val="000E71FE"/>
    <w:rsid w:val="00117B50"/>
    <w:rsid w:val="00121024"/>
    <w:rsid w:val="00121328"/>
    <w:rsid w:val="00121632"/>
    <w:rsid w:val="001414CF"/>
    <w:rsid w:val="001428B9"/>
    <w:rsid w:val="0016002B"/>
    <w:rsid w:val="001951A7"/>
    <w:rsid w:val="00197094"/>
    <w:rsid w:val="001A08CB"/>
    <w:rsid w:val="001B3302"/>
    <w:rsid w:val="001D35C7"/>
    <w:rsid w:val="001F3957"/>
    <w:rsid w:val="002043A7"/>
    <w:rsid w:val="00211912"/>
    <w:rsid w:val="00211DA5"/>
    <w:rsid w:val="002459F8"/>
    <w:rsid w:val="0026386E"/>
    <w:rsid w:val="00271558"/>
    <w:rsid w:val="0028007E"/>
    <w:rsid w:val="00281374"/>
    <w:rsid w:val="002847AF"/>
    <w:rsid w:val="00297489"/>
    <w:rsid w:val="002A6D44"/>
    <w:rsid w:val="002A791C"/>
    <w:rsid w:val="002B5A5C"/>
    <w:rsid w:val="002C6183"/>
    <w:rsid w:val="002D7B8B"/>
    <w:rsid w:val="002E3FD0"/>
    <w:rsid w:val="002E7021"/>
    <w:rsid w:val="00302784"/>
    <w:rsid w:val="00303A21"/>
    <w:rsid w:val="00307922"/>
    <w:rsid w:val="00317510"/>
    <w:rsid w:val="0032444F"/>
    <w:rsid w:val="00327DEE"/>
    <w:rsid w:val="00335E4D"/>
    <w:rsid w:val="0033743C"/>
    <w:rsid w:val="00343B73"/>
    <w:rsid w:val="003527AA"/>
    <w:rsid w:val="003567DC"/>
    <w:rsid w:val="0036214A"/>
    <w:rsid w:val="00364BF8"/>
    <w:rsid w:val="00367F35"/>
    <w:rsid w:val="00376930"/>
    <w:rsid w:val="0038541B"/>
    <w:rsid w:val="003920E7"/>
    <w:rsid w:val="0039418D"/>
    <w:rsid w:val="003A0BDE"/>
    <w:rsid w:val="003A4057"/>
    <w:rsid w:val="003A68EC"/>
    <w:rsid w:val="003B583F"/>
    <w:rsid w:val="003C3628"/>
    <w:rsid w:val="003C5C2C"/>
    <w:rsid w:val="003E2E76"/>
    <w:rsid w:val="003E4960"/>
    <w:rsid w:val="003F3C43"/>
    <w:rsid w:val="0040547A"/>
    <w:rsid w:val="00410376"/>
    <w:rsid w:val="0042729F"/>
    <w:rsid w:val="00430654"/>
    <w:rsid w:val="0043119F"/>
    <w:rsid w:val="0043553F"/>
    <w:rsid w:val="00436521"/>
    <w:rsid w:val="00443B74"/>
    <w:rsid w:val="004510BD"/>
    <w:rsid w:val="00452359"/>
    <w:rsid w:val="00455410"/>
    <w:rsid w:val="00470A55"/>
    <w:rsid w:val="00472AE2"/>
    <w:rsid w:val="00485B1B"/>
    <w:rsid w:val="004968E3"/>
    <w:rsid w:val="004A444B"/>
    <w:rsid w:val="004A451A"/>
    <w:rsid w:val="004A5D2C"/>
    <w:rsid w:val="004B7C30"/>
    <w:rsid w:val="004C6736"/>
    <w:rsid w:val="004C7824"/>
    <w:rsid w:val="004D0ED1"/>
    <w:rsid w:val="004D1CF1"/>
    <w:rsid w:val="004D463A"/>
    <w:rsid w:val="004D4A20"/>
    <w:rsid w:val="004D77B7"/>
    <w:rsid w:val="004E71B7"/>
    <w:rsid w:val="005072FC"/>
    <w:rsid w:val="005138A0"/>
    <w:rsid w:val="00514C34"/>
    <w:rsid w:val="0052164B"/>
    <w:rsid w:val="00525BC8"/>
    <w:rsid w:val="00536233"/>
    <w:rsid w:val="00543701"/>
    <w:rsid w:val="005477CF"/>
    <w:rsid w:val="0055477D"/>
    <w:rsid w:val="00564FC5"/>
    <w:rsid w:val="00565E94"/>
    <w:rsid w:val="00567ED7"/>
    <w:rsid w:val="005708CB"/>
    <w:rsid w:val="00573154"/>
    <w:rsid w:val="00573B3E"/>
    <w:rsid w:val="0057477C"/>
    <w:rsid w:val="00577B74"/>
    <w:rsid w:val="00582E24"/>
    <w:rsid w:val="00585E71"/>
    <w:rsid w:val="005A4846"/>
    <w:rsid w:val="005C1917"/>
    <w:rsid w:val="005D3DF1"/>
    <w:rsid w:val="005D74E0"/>
    <w:rsid w:val="005E7A8C"/>
    <w:rsid w:val="005F0C72"/>
    <w:rsid w:val="005F228F"/>
    <w:rsid w:val="005F5C62"/>
    <w:rsid w:val="00604EF4"/>
    <w:rsid w:val="0062156D"/>
    <w:rsid w:val="00630868"/>
    <w:rsid w:val="00661214"/>
    <w:rsid w:val="00667CF7"/>
    <w:rsid w:val="00684EC7"/>
    <w:rsid w:val="00687B14"/>
    <w:rsid w:val="006966DD"/>
    <w:rsid w:val="006B4F36"/>
    <w:rsid w:val="006D3B1A"/>
    <w:rsid w:val="006D5E9D"/>
    <w:rsid w:val="006E0CC7"/>
    <w:rsid w:val="006E224A"/>
    <w:rsid w:val="006E28E0"/>
    <w:rsid w:val="006E6C10"/>
    <w:rsid w:val="006F0201"/>
    <w:rsid w:val="007020CC"/>
    <w:rsid w:val="00703C6E"/>
    <w:rsid w:val="007067A4"/>
    <w:rsid w:val="0070770D"/>
    <w:rsid w:val="007078C1"/>
    <w:rsid w:val="00710099"/>
    <w:rsid w:val="00714FC9"/>
    <w:rsid w:val="007155A8"/>
    <w:rsid w:val="00733F96"/>
    <w:rsid w:val="0073530E"/>
    <w:rsid w:val="007361CD"/>
    <w:rsid w:val="00751A41"/>
    <w:rsid w:val="00757773"/>
    <w:rsid w:val="00781116"/>
    <w:rsid w:val="007876B4"/>
    <w:rsid w:val="007A50D7"/>
    <w:rsid w:val="007B24A9"/>
    <w:rsid w:val="007D219E"/>
    <w:rsid w:val="007E7A43"/>
    <w:rsid w:val="007F18C6"/>
    <w:rsid w:val="008021AE"/>
    <w:rsid w:val="00803979"/>
    <w:rsid w:val="0081186D"/>
    <w:rsid w:val="00820783"/>
    <w:rsid w:val="00826A2C"/>
    <w:rsid w:val="00840391"/>
    <w:rsid w:val="00840C12"/>
    <w:rsid w:val="00840C61"/>
    <w:rsid w:val="00840C80"/>
    <w:rsid w:val="0084614B"/>
    <w:rsid w:val="008471B2"/>
    <w:rsid w:val="00850725"/>
    <w:rsid w:val="0085224B"/>
    <w:rsid w:val="00863E82"/>
    <w:rsid w:val="00866F7D"/>
    <w:rsid w:val="00880DFB"/>
    <w:rsid w:val="00883078"/>
    <w:rsid w:val="00883BCC"/>
    <w:rsid w:val="00887A71"/>
    <w:rsid w:val="008913DA"/>
    <w:rsid w:val="00892527"/>
    <w:rsid w:val="008A33E1"/>
    <w:rsid w:val="008B40FD"/>
    <w:rsid w:val="008B77AD"/>
    <w:rsid w:val="008C003F"/>
    <w:rsid w:val="008D428B"/>
    <w:rsid w:val="008D49F7"/>
    <w:rsid w:val="008D60D8"/>
    <w:rsid w:val="009006DD"/>
    <w:rsid w:val="009024F3"/>
    <w:rsid w:val="009458AF"/>
    <w:rsid w:val="00946B0F"/>
    <w:rsid w:val="00950E20"/>
    <w:rsid w:val="009513EB"/>
    <w:rsid w:val="00961C61"/>
    <w:rsid w:val="009764FB"/>
    <w:rsid w:val="009841C0"/>
    <w:rsid w:val="00984F63"/>
    <w:rsid w:val="0098545B"/>
    <w:rsid w:val="00985878"/>
    <w:rsid w:val="00990707"/>
    <w:rsid w:val="00995EAA"/>
    <w:rsid w:val="009A2F89"/>
    <w:rsid w:val="009A514D"/>
    <w:rsid w:val="009A6E52"/>
    <w:rsid w:val="009B1E5F"/>
    <w:rsid w:val="009C0582"/>
    <w:rsid w:val="009C2F33"/>
    <w:rsid w:val="009C5B5F"/>
    <w:rsid w:val="009C7DD5"/>
    <w:rsid w:val="009D65B5"/>
    <w:rsid w:val="009D6F2E"/>
    <w:rsid w:val="009E37A1"/>
    <w:rsid w:val="009F0073"/>
    <w:rsid w:val="00A04EDC"/>
    <w:rsid w:val="00A04F9D"/>
    <w:rsid w:val="00A05B94"/>
    <w:rsid w:val="00A06995"/>
    <w:rsid w:val="00A128A2"/>
    <w:rsid w:val="00A24808"/>
    <w:rsid w:val="00A3032A"/>
    <w:rsid w:val="00A44163"/>
    <w:rsid w:val="00A479D9"/>
    <w:rsid w:val="00A5057F"/>
    <w:rsid w:val="00A64DA0"/>
    <w:rsid w:val="00A74473"/>
    <w:rsid w:val="00A90094"/>
    <w:rsid w:val="00A977E4"/>
    <w:rsid w:val="00AA7AE0"/>
    <w:rsid w:val="00AF1187"/>
    <w:rsid w:val="00AF71E9"/>
    <w:rsid w:val="00B03BE7"/>
    <w:rsid w:val="00B061FB"/>
    <w:rsid w:val="00B1387F"/>
    <w:rsid w:val="00B42EED"/>
    <w:rsid w:val="00B72A7D"/>
    <w:rsid w:val="00B74F24"/>
    <w:rsid w:val="00B832EF"/>
    <w:rsid w:val="00BA14DC"/>
    <w:rsid w:val="00BA2028"/>
    <w:rsid w:val="00BA7D27"/>
    <w:rsid w:val="00BB3B3B"/>
    <w:rsid w:val="00BB5017"/>
    <w:rsid w:val="00BD2DB0"/>
    <w:rsid w:val="00BD48E0"/>
    <w:rsid w:val="00BE5D7D"/>
    <w:rsid w:val="00C0117C"/>
    <w:rsid w:val="00C01C81"/>
    <w:rsid w:val="00C066D2"/>
    <w:rsid w:val="00C10816"/>
    <w:rsid w:val="00C1298D"/>
    <w:rsid w:val="00C12B49"/>
    <w:rsid w:val="00C34EDA"/>
    <w:rsid w:val="00C37BE3"/>
    <w:rsid w:val="00C443C6"/>
    <w:rsid w:val="00C463C1"/>
    <w:rsid w:val="00C523DF"/>
    <w:rsid w:val="00C5268E"/>
    <w:rsid w:val="00C55211"/>
    <w:rsid w:val="00C56EFF"/>
    <w:rsid w:val="00C57591"/>
    <w:rsid w:val="00C715B8"/>
    <w:rsid w:val="00C779A4"/>
    <w:rsid w:val="00C81855"/>
    <w:rsid w:val="00C821F7"/>
    <w:rsid w:val="00C855BF"/>
    <w:rsid w:val="00CA434C"/>
    <w:rsid w:val="00CB489F"/>
    <w:rsid w:val="00CB5DC0"/>
    <w:rsid w:val="00CC4120"/>
    <w:rsid w:val="00CD0030"/>
    <w:rsid w:val="00CD3F3A"/>
    <w:rsid w:val="00CE5184"/>
    <w:rsid w:val="00CF60FC"/>
    <w:rsid w:val="00D07666"/>
    <w:rsid w:val="00D076BC"/>
    <w:rsid w:val="00D20C54"/>
    <w:rsid w:val="00D2369B"/>
    <w:rsid w:val="00D40760"/>
    <w:rsid w:val="00D6208E"/>
    <w:rsid w:val="00D63CF1"/>
    <w:rsid w:val="00D67950"/>
    <w:rsid w:val="00D85B61"/>
    <w:rsid w:val="00D95CBB"/>
    <w:rsid w:val="00DA092F"/>
    <w:rsid w:val="00DA6C24"/>
    <w:rsid w:val="00DA75A5"/>
    <w:rsid w:val="00DB35E8"/>
    <w:rsid w:val="00DD2D1E"/>
    <w:rsid w:val="00DD3E89"/>
    <w:rsid w:val="00DF1CFB"/>
    <w:rsid w:val="00E039B6"/>
    <w:rsid w:val="00E04EAC"/>
    <w:rsid w:val="00E1153C"/>
    <w:rsid w:val="00E13352"/>
    <w:rsid w:val="00E25234"/>
    <w:rsid w:val="00E33A4B"/>
    <w:rsid w:val="00E5206A"/>
    <w:rsid w:val="00E52940"/>
    <w:rsid w:val="00E6200C"/>
    <w:rsid w:val="00E65888"/>
    <w:rsid w:val="00E81051"/>
    <w:rsid w:val="00E829A6"/>
    <w:rsid w:val="00E95D1B"/>
    <w:rsid w:val="00EB45AA"/>
    <w:rsid w:val="00EC10A2"/>
    <w:rsid w:val="00EC127E"/>
    <w:rsid w:val="00ED377A"/>
    <w:rsid w:val="00EE29BB"/>
    <w:rsid w:val="00EE65AE"/>
    <w:rsid w:val="00EF393B"/>
    <w:rsid w:val="00F04061"/>
    <w:rsid w:val="00F146FD"/>
    <w:rsid w:val="00F14A1A"/>
    <w:rsid w:val="00F3004F"/>
    <w:rsid w:val="00F34678"/>
    <w:rsid w:val="00F34FE3"/>
    <w:rsid w:val="00F36A0F"/>
    <w:rsid w:val="00F51FA2"/>
    <w:rsid w:val="00F607E4"/>
    <w:rsid w:val="00F60972"/>
    <w:rsid w:val="00F643F8"/>
    <w:rsid w:val="00F66EBE"/>
    <w:rsid w:val="00F70B58"/>
    <w:rsid w:val="00F758BD"/>
    <w:rsid w:val="00F8682B"/>
    <w:rsid w:val="00F8722E"/>
    <w:rsid w:val="00F93D98"/>
    <w:rsid w:val="00F94CAC"/>
    <w:rsid w:val="00FA3F46"/>
    <w:rsid w:val="00FA6CD5"/>
    <w:rsid w:val="00FB1D08"/>
    <w:rsid w:val="00FB53BF"/>
    <w:rsid w:val="00FB70B1"/>
    <w:rsid w:val="00FB7881"/>
    <w:rsid w:val="00FC669F"/>
    <w:rsid w:val="00FE1179"/>
    <w:rsid w:val="00FF1726"/>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F774CAC"/>
  <w15:docId w15:val="{876D6E83-482B-45F1-A463-F3795E69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24"/>
    <w:pPr>
      <w:spacing w:after="120"/>
    </w:pPr>
    <w:rPr>
      <w:rFonts w:cs="Arial"/>
      <w:sz w:val="24"/>
      <w:szCs w:val="24"/>
    </w:rPr>
  </w:style>
  <w:style w:type="paragraph" w:styleId="Heading1">
    <w:name w:val="heading 1"/>
    <w:basedOn w:val="Normal"/>
    <w:next w:val="Normal"/>
    <w:link w:val="Heading1Char"/>
    <w:qFormat/>
    <w:rsid w:val="004C7824"/>
    <w:pPr>
      <w:keepNext/>
      <w:spacing w:before="240" w:after="60"/>
      <w:outlineLvl w:val="0"/>
    </w:pPr>
    <w:rPr>
      <w:b/>
      <w:bCs/>
      <w:kern w:val="32"/>
      <w:sz w:val="32"/>
      <w:szCs w:val="32"/>
    </w:rPr>
  </w:style>
  <w:style w:type="paragraph" w:styleId="Heading2">
    <w:name w:val="heading 2"/>
    <w:basedOn w:val="Normal"/>
    <w:next w:val="Normal"/>
    <w:link w:val="Heading2Char"/>
    <w:qFormat/>
    <w:locked/>
    <w:rsid w:val="004C7824"/>
    <w:pPr>
      <w:keepNext/>
      <w:spacing w:after="240"/>
      <w:outlineLvl w:val="1"/>
    </w:pPr>
    <w:rPr>
      <w:sz w:val="28"/>
      <w:szCs w:val="20"/>
    </w:rPr>
  </w:style>
  <w:style w:type="paragraph" w:styleId="Heading3">
    <w:name w:val="heading 3"/>
    <w:basedOn w:val="Normal"/>
    <w:next w:val="Normal"/>
    <w:link w:val="Heading3Char"/>
    <w:qFormat/>
    <w:rsid w:val="004C782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824"/>
    <w:rPr>
      <w:rFonts w:cs="Arial"/>
      <w:b/>
      <w:bCs/>
      <w:kern w:val="32"/>
      <w:sz w:val="32"/>
      <w:szCs w:val="32"/>
    </w:rPr>
  </w:style>
  <w:style w:type="character" w:customStyle="1" w:styleId="Heading3Char">
    <w:name w:val="Heading 3 Char"/>
    <w:link w:val="Heading3"/>
    <w:locked/>
    <w:rsid w:val="004C7824"/>
    <w:rPr>
      <w:rFonts w:cs="Arial"/>
      <w:b/>
      <w:bCs/>
      <w:sz w:val="26"/>
      <w:szCs w:val="26"/>
    </w:rPr>
  </w:style>
  <w:style w:type="paragraph" w:styleId="PlainText">
    <w:name w:val="Plain Text"/>
    <w:basedOn w:val="Normal"/>
    <w:link w:val="PlainTextChar"/>
    <w:rsid w:val="004C7824"/>
    <w:rPr>
      <w:rFonts w:ascii="Courier New" w:hAnsi="Courier New"/>
      <w:sz w:val="20"/>
      <w:szCs w:val="20"/>
    </w:rPr>
  </w:style>
  <w:style w:type="character" w:customStyle="1" w:styleId="PlainTextChar">
    <w:name w:val="Plain Text Char"/>
    <w:basedOn w:val="DefaultParagraphFont"/>
    <w:link w:val="PlainText"/>
    <w:rsid w:val="00880CD3"/>
    <w:rPr>
      <w:rFonts w:ascii="Courier New" w:hAnsi="Courier New" w:cs="Arial"/>
      <w:sz w:val="20"/>
      <w:szCs w:val="20"/>
    </w:rPr>
  </w:style>
  <w:style w:type="paragraph" w:styleId="BalloonText">
    <w:name w:val="Balloon Text"/>
    <w:basedOn w:val="Normal"/>
    <w:link w:val="BalloonTextChar"/>
    <w:uiPriority w:val="99"/>
    <w:semiHidden/>
    <w:rsid w:val="00751A41"/>
    <w:rPr>
      <w:rFonts w:ascii="Tahoma" w:hAnsi="Tahoma" w:cs="Tahoma"/>
      <w:sz w:val="16"/>
      <w:szCs w:val="16"/>
    </w:rPr>
  </w:style>
  <w:style w:type="character" w:customStyle="1" w:styleId="BalloonTextChar">
    <w:name w:val="Balloon Text Char"/>
    <w:basedOn w:val="DefaultParagraphFont"/>
    <w:link w:val="BalloonText"/>
    <w:uiPriority w:val="99"/>
    <w:semiHidden/>
    <w:rsid w:val="00880CD3"/>
    <w:rPr>
      <w:sz w:val="0"/>
      <w:szCs w:val="0"/>
    </w:rPr>
  </w:style>
  <w:style w:type="paragraph" w:styleId="Header">
    <w:name w:val="header"/>
    <w:basedOn w:val="Normal"/>
    <w:link w:val="HeaderChar"/>
    <w:rsid w:val="00C81855"/>
    <w:pPr>
      <w:tabs>
        <w:tab w:val="center" w:pos="4320"/>
        <w:tab w:val="right" w:pos="8640"/>
      </w:tabs>
    </w:pPr>
  </w:style>
  <w:style w:type="character" w:customStyle="1" w:styleId="HeaderChar">
    <w:name w:val="Header Char"/>
    <w:basedOn w:val="DefaultParagraphFont"/>
    <w:link w:val="Header"/>
    <w:rsid w:val="00880CD3"/>
    <w:rPr>
      <w:rFonts w:ascii="Arial" w:hAnsi="Arial"/>
      <w:sz w:val="24"/>
      <w:szCs w:val="24"/>
    </w:rPr>
  </w:style>
  <w:style w:type="paragraph" w:styleId="Footer">
    <w:name w:val="footer"/>
    <w:basedOn w:val="Normal"/>
    <w:link w:val="FooterChar"/>
    <w:uiPriority w:val="99"/>
    <w:rsid w:val="00C81855"/>
    <w:pPr>
      <w:tabs>
        <w:tab w:val="center" w:pos="4320"/>
        <w:tab w:val="right" w:pos="8640"/>
      </w:tabs>
    </w:pPr>
  </w:style>
  <w:style w:type="character" w:customStyle="1" w:styleId="FooterChar">
    <w:name w:val="Footer Char"/>
    <w:basedOn w:val="DefaultParagraphFont"/>
    <w:link w:val="Footer"/>
    <w:uiPriority w:val="99"/>
    <w:semiHidden/>
    <w:rsid w:val="00880CD3"/>
    <w:rPr>
      <w:rFonts w:ascii="Arial" w:hAnsi="Arial"/>
      <w:sz w:val="24"/>
      <w:szCs w:val="24"/>
    </w:rPr>
  </w:style>
  <w:style w:type="character" w:styleId="FollowedHyperlink">
    <w:name w:val="FollowedHyperlink"/>
    <w:basedOn w:val="DefaultParagraphFont"/>
    <w:uiPriority w:val="99"/>
    <w:rsid w:val="00C10816"/>
    <w:rPr>
      <w:rFonts w:cs="Times New Roman"/>
      <w:color w:val="800080"/>
      <w:u w:val="single"/>
    </w:rPr>
  </w:style>
  <w:style w:type="character" w:customStyle="1" w:styleId="Heading4">
    <w:name w:val="Heading4"/>
    <w:rsid w:val="004C7824"/>
    <w:rPr>
      <w:rFonts w:ascii="Arial" w:hAnsi="Arial"/>
      <w:b/>
      <w:sz w:val="24"/>
    </w:rPr>
  </w:style>
  <w:style w:type="paragraph" w:styleId="NormalWeb">
    <w:name w:val="Normal (Web)"/>
    <w:basedOn w:val="Normal"/>
    <w:uiPriority w:val="99"/>
    <w:rsid w:val="00565E94"/>
    <w:pPr>
      <w:spacing w:before="100" w:beforeAutospacing="1" w:after="100" w:afterAutospacing="1"/>
    </w:pPr>
  </w:style>
  <w:style w:type="paragraph" w:styleId="BodyText2">
    <w:name w:val="Body Text 2"/>
    <w:basedOn w:val="Normal"/>
    <w:link w:val="BodyText2Char"/>
    <w:uiPriority w:val="99"/>
    <w:rsid w:val="003C5C2C"/>
    <w:rPr>
      <w:szCs w:val="20"/>
    </w:rPr>
  </w:style>
  <w:style w:type="character" w:customStyle="1" w:styleId="BodyText2Char">
    <w:name w:val="Body Text 2 Char"/>
    <w:basedOn w:val="DefaultParagraphFont"/>
    <w:link w:val="BodyText2"/>
    <w:uiPriority w:val="99"/>
    <w:semiHidden/>
    <w:rsid w:val="00880CD3"/>
    <w:rPr>
      <w:rFonts w:ascii="Arial" w:hAnsi="Arial"/>
      <w:sz w:val="24"/>
      <w:szCs w:val="24"/>
    </w:rPr>
  </w:style>
  <w:style w:type="paragraph" w:styleId="BodyTextIndent">
    <w:name w:val="Body Text Indent"/>
    <w:basedOn w:val="Normal"/>
    <w:link w:val="BodyTextIndentChar"/>
    <w:uiPriority w:val="99"/>
    <w:rsid w:val="001F3957"/>
    <w:pPr>
      <w:ind w:left="360"/>
    </w:pPr>
  </w:style>
  <w:style w:type="character" w:customStyle="1" w:styleId="BodyTextIndentChar">
    <w:name w:val="Body Text Indent Char"/>
    <w:basedOn w:val="DefaultParagraphFont"/>
    <w:link w:val="BodyTextIndent"/>
    <w:uiPriority w:val="99"/>
    <w:semiHidden/>
    <w:rsid w:val="00880CD3"/>
    <w:rPr>
      <w:rFonts w:ascii="Arial" w:hAnsi="Arial"/>
      <w:sz w:val="24"/>
      <w:szCs w:val="24"/>
    </w:rPr>
  </w:style>
  <w:style w:type="paragraph" w:styleId="BodyTextIndent3">
    <w:name w:val="Body Text Indent 3"/>
    <w:basedOn w:val="Normal"/>
    <w:link w:val="BodyTextIndent3Char"/>
    <w:uiPriority w:val="99"/>
    <w:rsid w:val="001F3957"/>
    <w:pPr>
      <w:ind w:left="360"/>
    </w:pPr>
    <w:rPr>
      <w:sz w:val="16"/>
      <w:szCs w:val="16"/>
    </w:rPr>
  </w:style>
  <w:style w:type="character" w:customStyle="1" w:styleId="BodyTextIndent3Char">
    <w:name w:val="Body Text Indent 3 Char"/>
    <w:basedOn w:val="DefaultParagraphFont"/>
    <w:link w:val="BodyTextIndent3"/>
    <w:uiPriority w:val="99"/>
    <w:semiHidden/>
    <w:rsid w:val="00880CD3"/>
    <w:rPr>
      <w:rFonts w:ascii="Arial" w:hAnsi="Arial"/>
      <w:sz w:val="16"/>
      <w:szCs w:val="16"/>
    </w:rPr>
  </w:style>
  <w:style w:type="paragraph" w:customStyle="1" w:styleId="dead">
    <w:name w:val="dead"/>
    <w:basedOn w:val="Normal"/>
    <w:uiPriority w:val="99"/>
    <w:rsid w:val="001F3957"/>
    <w:pPr>
      <w:tabs>
        <w:tab w:val="left" w:pos="-1440"/>
        <w:tab w:val="left" w:pos="-720"/>
        <w:tab w:val="left" w:pos="4914"/>
        <w:tab w:val="left" w:pos="8568"/>
      </w:tabs>
      <w:suppressAutoHyphens/>
      <w:spacing w:after="60"/>
      <w:ind w:left="547" w:hanging="547"/>
      <w:jc w:val="both"/>
    </w:pPr>
    <w:rPr>
      <w:szCs w:val="20"/>
    </w:rPr>
  </w:style>
  <w:style w:type="character" w:styleId="Hyperlink">
    <w:name w:val="Hyperlink"/>
    <w:basedOn w:val="DefaultParagraphFont"/>
    <w:uiPriority w:val="99"/>
    <w:rsid w:val="00514C34"/>
    <w:rPr>
      <w:rFonts w:cs="Times New Roman"/>
      <w:color w:val="0000FF"/>
      <w:u w:val="single"/>
    </w:rPr>
  </w:style>
  <w:style w:type="paragraph" w:styleId="FootnoteText">
    <w:name w:val="footnote text"/>
    <w:basedOn w:val="Normal"/>
    <w:link w:val="FootnoteTextChar"/>
    <w:uiPriority w:val="99"/>
    <w:semiHidden/>
    <w:rsid w:val="004A451A"/>
    <w:rPr>
      <w:sz w:val="20"/>
      <w:szCs w:val="20"/>
    </w:rPr>
  </w:style>
  <w:style w:type="character" w:customStyle="1" w:styleId="FootnoteTextChar">
    <w:name w:val="Footnote Text Char"/>
    <w:basedOn w:val="DefaultParagraphFont"/>
    <w:link w:val="FootnoteText"/>
    <w:uiPriority w:val="99"/>
    <w:semiHidden/>
    <w:rsid w:val="00880CD3"/>
    <w:rPr>
      <w:rFonts w:ascii="Arial" w:hAnsi="Arial"/>
      <w:sz w:val="20"/>
      <w:szCs w:val="20"/>
    </w:rPr>
  </w:style>
  <w:style w:type="character" w:styleId="FootnoteReference">
    <w:name w:val="footnote reference"/>
    <w:basedOn w:val="DefaultParagraphFont"/>
    <w:uiPriority w:val="99"/>
    <w:semiHidden/>
    <w:rsid w:val="004A451A"/>
    <w:rPr>
      <w:rFonts w:cs="Times New Roman"/>
      <w:vertAlign w:val="superscript"/>
    </w:rPr>
  </w:style>
  <w:style w:type="paragraph" w:styleId="HTMLPreformatted">
    <w:name w:val="HTML Preformatted"/>
    <w:basedOn w:val="Normal"/>
    <w:link w:val="HTMLPreformattedChar"/>
    <w:uiPriority w:val="99"/>
    <w:rsid w:val="00BA7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0CD3"/>
    <w:rPr>
      <w:rFonts w:ascii="Courier New" w:hAnsi="Courier New" w:cs="Courier New"/>
      <w:sz w:val="20"/>
      <w:szCs w:val="20"/>
    </w:rPr>
  </w:style>
  <w:style w:type="paragraph" w:styleId="ListParagraph">
    <w:name w:val="List Paragraph"/>
    <w:basedOn w:val="Normal"/>
    <w:uiPriority w:val="34"/>
    <w:qFormat/>
    <w:rsid w:val="00F66EBE"/>
    <w:pPr>
      <w:ind w:left="720"/>
    </w:pPr>
  </w:style>
  <w:style w:type="paragraph" w:styleId="Revision">
    <w:name w:val="Revision"/>
    <w:hidden/>
    <w:uiPriority w:val="99"/>
    <w:semiHidden/>
    <w:rsid w:val="007020CC"/>
    <w:rPr>
      <w:rFonts w:ascii="Arial" w:hAnsi="Arial"/>
      <w:sz w:val="24"/>
      <w:szCs w:val="24"/>
    </w:rPr>
  </w:style>
  <w:style w:type="character" w:styleId="CommentReference">
    <w:name w:val="annotation reference"/>
    <w:basedOn w:val="DefaultParagraphFont"/>
    <w:uiPriority w:val="99"/>
    <w:semiHidden/>
    <w:unhideWhenUsed/>
    <w:rsid w:val="007020CC"/>
    <w:rPr>
      <w:sz w:val="16"/>
      <w:szCs w:val="16"/>
    </w:rPr>
  </w:style>
  <w:style w:type="paragraph" w:styleId="CommentText">
    <w:name w:val="annotation text"/>
    <w:basedOn w:val="Normal"/>
    <w:link w:val="CommentTextChar"/>
    <w:uiPriority w:val="99"/>
    <w:semiHidden/>
    <w:unhideWhenUsed/>
    <w:rsid w:val="007020CC"/>
    <w:rPr>
      <w:sz w:val="20"/>
      <w:szCs w:val="20"/>
    </w:rPr>
  </w:style>
  <w:style w:type="character" w:customStyle="1" w:styleId="CommentTextChar">
    <w:name w:val="Comment Text Char"/>
    <w:basedOn w:val="DefaultParagraphFont"/>
    <w:link w:val="CommentText"/>
    <w:uiPriority w:val="99"/>
    <w:semiHidden/>
    <w:rsid w:val="007020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20CC"/>
    <w:rPr>
      <w:b/>
      <w:bCs/>
    </w:rPr>
  </w:style>
  <w:style w:type="character" w:customStyle="1" w:styleId="CommentSubjectChar">
    <w:name w:val="Comment Subject Char"/>
    <w:basedOn w:val="CommentTextChar"/>
    <w:link w:val="CommentSubject"/>
    <w:uiPriority w:val="99"/>
    <w:semiHidden/>
    <w:rsid w:val="007020CC"/>
    <w:rPr>
      <w:rFonts w:ascii="Arial" w:hAnsi="Arial"/>
      <w:b/>
      <w:bCs/>
      <w:sz w:val="20"/>
      <w:szCs w:val="20"/>
    </w:rPr>
  </w:style>
  <w:style w:type="paragraph" w:customStyle="1" w:styleId="SOPTitle">
    <w:name w:val="SOP Title"/>
    <w:basedOn w:val="Normal"/>
    <w:link w:val="SOPTitleChar"/>
    <w:qFormat/>
    <w:rsid w:val="004C7824"/>
    <w:pPr>
      <w:spacing w:before="40" w:after="40"/>
    </w:pPr>
    <w:rPr>
      <w:b/>
      <w:bCs/>
      <w:sz w:val="32"/>
      <w:szCs w:val="32"/>
    </w:rPr>
  </w:style>
  <w:style w:type="character" w:customStyle="1" w:styleId="SOPTitleChar">
    <w:name w:val="SOP Title Char"/>
    <w:basedOn w:val="DefaultParagraphFont"/>
    <w:link w:val="SOPTitle"/>
    <w:rsid w:val="004C7824"/>
    <w:rPr>
      <w:rFonts w:cs="Arial"/>
      <w:b/>
      <w:bCs/>
      <w:sz w:val="32"/>
      <w:szCs w:val="32"/>
    </w:rPr>
  </w:style>
  <w:style w:type="paragraph" w:customStyle="1" w:styleId="FormTitle">
    <w:name w:val="Form Title"/>
    <w:basedOn w:val="SOPTitle"/>
    <w:link w:val="FormTitleChar"/>
    <w:qFormat/>
    <w:rsid w:val="004C7824"/>
    <w:pPr>
      <w:spacing w:after="120"/>
      <w:jc w:val="center"/>
    </w:pPr>
  </w:style>
  <w:style w:type="character" w:customStyle="1" w:styleId="FormTitleChar">
    <w:name w:val="Form Title Char"/>
    <w:basedOn w:val="SOPTitleChar"/>
    <w:link w:val="FormTitle"/>
    <w:rsid w:val="004C7824"/>
    <w:rPr>
      <w:rFonts w:cs="Arial"/>
      <w:b/>
      <w:bCs/>
      <w:sz w:val="32"/>
      <w:szCs w:val="32"/>
    </w:rPr>
  </w:style>
  <w:style w:type="character" w:customStyle="1" w:styleId="Heading2Char">
    <w:name w:val="Heading 2 Char"/>
    <w:basedOn w:val="DefaultParagraphFont"/>
    <w:link w:val="Heading2"/>
    <w:rsid w:val="004C7824"/>
    <w:rPr>
      <w:rFonts w:cs="Arial"/>
      <w:sz w:val="28"/>
      <w:szCs w:val="20"/>
    </w:rPr>
  </w:style>
  <w:style w:type="table" w:styleId="TableGrid">
    <w:name w:val="Table Grid"/>
    <w:basedOn w:val="TableNormal"/>
    <w:rsid w:val="004C78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C7824"/>
    <w:p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267">
      <w:marLeft w:val="0"/>
      <w:marRight w:val="0"/>
      <w:marTop w:val="0"/>
      <w:marBottom w:val="0"/>
      <w:divBdr>
        <w:top w:val="none" w:sz="0" w:space="0" w:color="auto"/>
        <w:left w:val="none" w:sz="0" w:space="0" w:color="auto"/>
        <w:bottom w:val="none" w:sz="0" w:space="0" w:color="auto"/>
        <w:right w:val="none" w:sz="0" w:space="0" w:color="auto"/>
      </w:divBdr>
    </w:div>
    <w:div w:id="17265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1274</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107a - Data Quality Guidelines and Principal Investigator Verification of Compliance</vt:lpstr>
    </vt:vector>
  </TitlesOfParts>
  <Company>Craig Hospital</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107a - Data Quality Guidelines and Principal Investigator Verification of Compliance</dc:title>
  <dc:subject>Data Collection</dc:subject>
  <dc:creator>NDSC</dc:creator>
  <cp:keywords>Quality guidelines</cp:keywords>
  <dc:description>The TBIMS have established data quality guidelines and strategies to ensure that data is being collected the same way throughout the TBIMS.</dc:description>
  <cp:lastModifiedBy>Noble, Kendy</cp:lastModifiedBy>
  <cp:revision>11</cp:revision>
  <cp:lastPrinted>2014-11-24T17:51:00Z</cp:lastPrinted>
  <dcterms:created xsi:type="dcterms:W3CDTF">2022-03-24T19:33:00Z</dcterms:created>
  <dcterms:modified xsi:type="dcterms:W3CDTF">2024-12-12T22:21:00Z</dcterms:modified>
</cp:coreProperties>
</file>